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265 vom 1. Januar 1990</w:t>
      </w:r>
    </w:p>
    <w:p>
      <w:r>
        <w:t>Bundesgericht (BGE), 1990-01-01, FR</w:t>
      </w:r>
    </w:p>
    <w:p>
      <w:r>
        <w:rPr>
          <w:b/>
        </w:rPr>
        <w:t xml:space="preserve">Quelle: </w:t>
      </w:r>
      <w:r>
        <w:t>https://mcp.opencaselaw.ch/entscheid/bge_116 IB 265</w:t>
      </w:r>
    </w:p>
    <w:p>
      <w:r>
        <w:t>FR: BGE 116 IB 265 du 1 janvier 1990</w:t>
      </w:r>
    </w:p>
    <w:p>
      <w:r>
        <w:t>IT: BGE 116 IB 265 del 1 gennaio 1990</w:t>
      </w:r>
    </w:p>
    <w:p>
      <w:pPr>
        <w:pStyle w:val="Heading2"/>
      </w:pPr>
      <w:r>
        <w:t>Regeste</w:t>
      </w:r>
    </w:p>
    <w:p>
      <w:r>
        <w:t>Regeste Art. 1 Abs. 2 und 11 Abs. 2 USG; Tragweite des Vorsorgeprinzips. Elektromagnetische Felder sind nichtionisierende Strahlen, die durch Massnahmen am Ausgangsort zu begrenzen sind; diese Massnahmen basieren, soweit weder das Verordnungsrecht noch das kantonale Recht Begrenzungswerte festlegt, direkt auf dem Bundesgesetz über den Umweltschutz (E. 4a). Das Vorsorgeprinzip ist auch im Bereich raumplanerischer Aufgaben anwendbar. Es verpflichtet die Raumplanungsbehörden bei der Förderung der räumlichen Entwicklung, denjenigen Varianten den Vorzug zu geben, die die geringsten Umweltbelastungen zur Folge haben (E. 4c).</w:t>
      </w:r>
    </w:p>
    <w:p>
      <w:pPr>
        <w:pStyle w:val="Heading2"/>
      </w:pPr>
      <w:r>
        <w:t>Erwägungen</w:t>
      </w:r>
    </w:p>
    <w:p>
      <w:r>
        <w:rPr>
          <w:b/>
        </w:rPr>
        <w:t>E. 4</w:t>
      </w:r>
    </w:p>
    <w:p>
      <w:r>
        <w:t>a) Les recourants se plaignent des risques, pour la santé de l'homme, de l'exposition aux champs électromagnétiques. Les champs électriques et magnétiques émis par un transformateur sont des rayons non ionisants qui doivent être limités par des mesures prises à la source (art. 11 al. 1 LPE). Les émissions peuvent être limitées par l'application de valeurs limites d'émissions ou par des prescriptions techniques en matière d'équipement (art. 12 al. 1 let. a et b LPE). Les valeurs limites sont en principe fixées par voie d'ordonnance (art. 12 al. 2 et 39 al. 1 LPE). A défaut d'ordonnance ou de droit cantonal supplétif (art. 65 al. 1 LPE), la limitation des émissions est fondée directement sur la loi (art. 12 al. 2 in fine LPE). Selon le principe de prévention (art. 1er al. 2 LPE), les émissions doivent être limitées à titre préventif indépendamment des nuisances existantes, dans la mesure où l'état de la technique et les conditions d'exploitation le permettent, et pour autant que cela soit économiquement supportable. Les effets des émissions - soit les atteintes à l'environnement, qualifiées d'immissions - sont évalués selon des valeurs limites fixées par voie d'ordonnance également (art. 13 al. 1 LPE). Les art. 14 et 15 LPE précisent les critères à respecter lors de la définition des valeurs limites d'immissions. En particulier, ces valeurs doivent être fixées de sorte que les immissions ne gênent pas de manière sensible la population dans son bien-être et ne menacent pas les hommes, les animaux et les plantes, leurs biocénoses et leurs biotopes, compte tenu de l'état de la science et de la technique (art. 14 let. a et b LPE). BGE 116 Ib 265 S. 268 b) Le Conseil fédéral n'a pas fixé de valeurs limites d'émissions concernant les champs électromagnétiques. Les prescriptions fédérales relatives aux installations électriques à faible et à fort courant ne comportent non plus aucune valeur limite en la matière. L'ordonnance sur les installations à courant fort ne fixe, à son chapitre III, que les mesures de protection indispensables à la sécurité, notamment la protection contre les surtensions et les surintensités. Par ailleurs, aucune ordonnance ne fixe de valeurs limites d'immissions. L'Office fédéral ne propose lui-même pas de valeurs limites. L'état de la science et de la technique ne permet pas d'arrêter actuellement de telles valeurs. Les avis scientifiques sont partagés et les investigations publiées ne reposent pas sur des bases statistiques suffisantes pour établir un lien de causalité entre les atteintes à la santé et l'exposition à des champs électromagnétiques. Il ressort de l'instruction de la cause que les champs électriques sont pratiquement absorbés par les parois en béton armé de la construction de protection civile. Quant aux champs magnétiques, même s'ils développent des effets à travers les murs protecteurs de l'ouvrage, ils diminuent fortement d'intensité avec la distance. Sur la voie publique séparant l'ouvrage de protection civile du bâtiment des recourants, le niveau du champ électromagnétique créé par le transformateur ne serait même plus mesurable, étant inférieur au niveau créé par les lignes électriques existantes. L'intensité des champs magnétiques des transformateurs serait si réduite à une telle distance qu'on peut exclure qu'elle soit de nature à mettre la santé de l'homme en danger. c) L'Office fédéral estime toutefois que d'autres emplacements devraient être étudiés pour l'implantation de la station, conformément au principe de prévention (art. 11 al. 2 LPE). Le principe de prévention impose notamment aux cantons de coordonner les mesures d'aménagement du territoire avec les impératifs de la protection de l'environnement. Parmi les solutions qui entrent en ligne de compte, les autorités chargées de l'aménagement du territoire doivent retenir celles qui permettent de réduire au minimum les atteintes à l'environnement et qui assurent une utilisation mesurée et rationnelle du sol compte tenu du développement spatial souhaité (art. 2 al. 1 let. d OAT). La planification communale tient compte de ces exigences. L'abri de protection civile de la commune est une construction qui présente les normes de sécurité les plus sévères. Son enveloppe en BGE 116 Ib 265 S. 269 béton armé assure une protection efficace de la population et de l'environnement. Le choix retenu au centre du village permet en outre de desservir de manière plus rationnelle le réseau d'alimentation en énergie, nécessaire à l'équipement des zones à bâtir (art. 19 LAT). La solution retenue entraîne la suppression d'une station en plein air, sise à l'entrée du village, ce qui apporte une amélioration globale de la situation. Le choix de l'emplacement du poste de transformation, dans une zone prévue à cet effet, répond aux exigences de l'aménagement du territoire et aux impératifs de la protection de l'environnement, en particulier au principe de prévention.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